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5F" w:rsidRPr="000E1B5F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>ANEXO XX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>., DECLARA para os fins do Processo Licitatório n.º 0042/2017 modalidade Pregão Presencial n.º 0018/2017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à não visitação antecipada.</w:t>
      </w:r>
    </w:p>
    <w:p w:rsidR="00EF3D93" w:rsidRPr="000E1B5F" w:rsidRDefault="00EF3D93" w:rsidP="00E424D4">
      <w:pPr>
        <w:spacing w:line="360" w:lineRule="auto"/>
        <w:jc w:val="both"/>
      </w:pPr>
      <w:bookmarkStart w:id="0" w:name="_GoBack"/>
      <w:bookmarkEnd w:id="0"/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488F0C6E"/>
  <w15:docId w15:val="{B873C799-6F99-4147-A3BD-D6CF3D16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Rebecca Schork Rossi</cp:lastModifiedBy>
  <cp:revision>2</cp:revision>
  <cp:lastPrinted>2018-03-06T15:28:00Z</cp:lastPrinted>
  <dcterms:created xsi:type="dcterms:W3CDTF">2022-03-24T17:06:00Z</dcterms:created>
  <dcterms:modified xsi:type="dcterms:W3CDTF">2022-03-24T17:06:00Z</dcterms:modified>
</cp:coreProperties>
</file>